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>
          <w:b w:val="1"/>
          <w:sz w:val="28"/>
          <w:szCs w:val="28"/>
          <w:shd w:fill="f8f9fa" w:val="clear"/>
        </w:rPr>
      </w:pPr>
      <w:r w:rsidDel="00000000" w:rsidR="00000000" w:rsidRPr="00000000">
        <w:rPr>
          <w:b w:val="1"/>
          <w:sz w:val="28"/>
          <w:szCs w:val="28"/>
          <w:shd w:fill="f8f9fa" w:val="clear"/>
          <w:rtl w:val="0"/>
        </w:rPr>
        <w:t xml:space="preserve">Výsledky Česka v </w:t>
      </w:r>
      <w:r w:rsidDel="00000000" w:rsidR="00000000" w:rsidRPr="00000000">
        <w:rPr>
          <w:b w:val="1"/>
          <w:sz w:val="28"/>
          <w:szCs w:val="28"/>
          <w:shd w:fill="f8f9fa" w:val="clear"/>
          <w:rtl w:val="0"/>
        </w:rPr>
        <w:t xml:space="preserve">DESI 2024:</w:t>
      </w:r>
      <w:r w:rsidDel="00000000" w:rsidR="00000000" w:rsidRPr="00000000">
        <w:rPr>
          <w:b w:val="1"/>
          <w:sz w:val="28"/>
          <w:szCs w:val="28"/>
          <w:shd w:fill="f8f9fa" w:val="clear"/>
          <w:rtl w:val="0"/>
        </w:rPr>
        <w:t xml:space="preserve"> Nejvíce se nám daří v digitálním vzdělávání a využívání digitálních služeb státu</w:t>
      </w:r>
    </w:p>
    <w:p w:rsidR="00000000" w:rsidDel="00000000" w:rsidP="00000000" w:rsidRDefault="00000000" w:rsidRPr="00000000" w14:paraId="00000003">
      <w:pPr>
        <w:spacing w:after="0" w:before="0" w:line="308.5714285714286" w:lineRule="auto"/>
        <w:jc w:val="both"/>
        <w:rPr>
          <w:b w:val="1"/>
          <w:shd w:fill="f8f9fa" w:val="clear"/>
        </w:rPr>
      </w:pPr>
      <w:r w:rsidDel="00000000" w:rsidR="00000000" w:rsidRPr="00000000">
        <w:rPr>
          <w:i w:val="1"/>
          <w:rtl w:val="0"/>
        </w:rPr>
        <w:t xml:space="preserve">Praha, 2. července 2024 </w:t>
      </w:r>
      <w:r w:rsidDel="00000000" w:rsidR="00000000" w:rsidRPr="00000000">
        <w:rPr>
          <w:b w:val="1"/>
          <w:rtl w:val="0"/>
        </w:rPr>
        <w:t xml:space="preserve">– Česko se v oblasti digitalizace veřejné správy posunula o několik procent v rámci nejnovějšího hodnocení DESI, který sleduje pokrok členských států EU v digitalizaci veřejné správy. Česku se nejlépe daří v digitálních dovednostech, využívání služeb eGovernmentu či pokrytí sítě 5G. Naopak nejvíce zaostává v nedostatku ICT pracovníků a zavedení předvyplněných formulářů. Zlepšení pomůže DIA i Zákon o právu na digitální služby. </w:t>
      </w:r>
      <w:r w:rsidDel="00000000" w:rsidR="00000000" w:rsidRPr="00000000">
        <w:rPr>
          <w:b w:val="1"/>
          <w:shd w:fill="f8f9fa" w:val="clear"/>
          <w:rtl w:val="0"/>
        </w:rPr>
        <w:t xml:space="preserve">Výsledky DESI hodnotí data za rok 2023, sběr některých dat vychází z roku 2022 a hodnocení se také věnuje dalším aspektům digitalizace mimo stát, například digitalizaci firem.</w:t>
      </w:r>
    </w:p>
    <w:p w:rsidR="00000000" w:rsidDel="00000000" w:rsidP="00000000" w:rsidRDefault="00000000" w:rsidRPr="00000000" w14:paraId="00000004">
      <w:pPr>
        <w:spacing w:after="240" w:before="240" w:line="331.2" w:lineRule="auto"/>
        <w:jc w:val="both"/>
        <w:rPr>
          <w:shd w:fill="f8f9fa" w:val="clear"/>
        </w:rPr>
      </w:pPr>
      <w:r w:rsidDel="00000000" w:rsidR="00000000" w:rsidRPr="00000000">
        <w:rPr>
          <w:shd w:fill="f8f9fa" w:val="clear"/>
          <w:rtl w:val="0"/>
        </w:rPr>
        <w:t xml:space="preserve">Zpráva o stavu Digitální dekády (DESI) hodnotí pokrok Evropské unie a jejích členských zemí v digitální transformaci. Sleduje oblasti digitálních dovedností a vzdělávání, rozvoj digitální infrastruktury, digitální transformaci podniků a digitalizaci veřejných služeb. Nejlépe se Česku daří v oblasti digitálních dovedností, kde si v porovnání s rokem 2023 polepšilo o 10 %. Podle indexu má základní digitální dovednosti více než 69 % lidí, což je vysoko nad průměrem EU (55,6 %). Významného pokroku bylo dosaženo v oblasti podnikání a obchodních operací, kde se Česko umístilo na 8. místě s 92 % (zlepšení ze 14. místa s 83 % v roce 2022). Dále se zlepšila oblast spojená se změnou bydliště (22. místo, 71 %), dopravy (22. místo, 68 %) a justice (11. místo, 70 %).</w:t>
      </w:r>
    </w:p>
    <w:p w:rsidR="00000000" w:rsidDel="00000000" w:rsidP="00000000" w:rsidRDefault="00000000" w:rsidRPr="00000000" w14:paraId="00000005">
      <w:pPr>
        <w:spacing w:after="240" w:before="240" w:line="331.2" w:lineRule="auto"/>
        <w:jc w:val="both"/>
        <w:rPr>
          <w:shd w:fill="f8f9fa" w:val="clear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Výsledky DESI odrážejí skutečný stav dlouhodobě zanedbávané digitalizace v naší zemi a upozorňují na mnoho problémů, na kterých vytrvale pracujeme. Řada jich stále není dokončená, ale věřím, že výsledky se brzy dostaví. Za poslední dva roky jsme úspěšně založili Digitální a informační agenturu, společně jsme nastartovali důležité agendy digitalizace a spustili řadu projektů, které nás posouvají vpřed.  Pořád ale narážíme na stejné </w:t>
      </w:r>
      <w:r w:rsidDel="00000000" w:rsidR="00000000" w:rsidRPr="00000000">
        <w:rPr>
          <w:i w:val="1"/>
          <w:rtl w:val="0"/>
        </w:rPr>
        <w:t xml:space="preserve">bariéry</w:t>
      </w:r>
      <w:r w:rsidDel="00000000" w:rsidR="00000000" w:rsidRPr="00000000">
        <w:rPr>
          <w:i w:val="1"/>
          <w:rtl w:val="0"/>
        </w:rPr>
        <w:t xml:space="preserve">, a to jsou nízké platy ICT pracovníků ve státní správě v porovnání s komerčním sektorem. Ale i na tom už pracujeme a snažíme se o zatraktivnění práce ve státní správě</w:t>
      </w:r>
      <w:r w:rsidDel="00000000" w:rsidR="00000000" w:rsidRPr="00000000">
        <w:rPr>
          <w:rtl w:val="0"/>
        </w:rPr>
        <w:t xml:space="preserve">,” uvedl místopředseda vlády pro digitalizaci Ivan Bartoš.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08.5714285714286" w:lineRule="auto"/>
        <w:jc w:val="both"/>
        <w:rPr>
          <w:shd w:fill="f8f9fa" w:val="clear"/>
        </w:rPr>
      </w:pPr>
      <w:r w:rsidDel="00000000" w:rsidR="00000000" w:rsidRPr="00000000">
        <w:rPr>
          <w:shd w:fill="f8f9fa" w:val="clear"/>
          <w:rtl w:val="0"/>
        </w:rPr>
        <w:t xml:space="preserve">Česko v této oblasti postupuje i díky několika úspěšným projektům Kabinetu místopředsedy vlády pro digitalizaci. Minulý rok se povedlo uskutečnit druhý ročník akce Týden pro digitální Česko, věnované právě vzdělávání v oblasti digitálních dovedností. Akce proběhla ve 30 městech po celém Česku, zúčastnilo se jí přes 5 300 lidí, uspořádalo se 126 eventů a zapojilo se 103 partnerských organizací. Kampaň zasáhla přibližně 2,4 milionu lidí. Letošní již třetí ročník je naplánován na 18.-24. listopadu, fyzicky i online. Jeho tématy budou opět digitální dovednosti s větším důrazem na trh práce, bezpečí dětí na internetu a využívání online služeb státu.</w:t>
      </w:r>
      <w:r w:rsidDel="00000000" w:rsidR="00000000" w:rsidRPr="00000000">
        <w:rPr>
          <w:shd w:fill="f8f9fa" w:val="clear"/>
          <w:rtl w:val="0"/>
        </w:rPr>
        <w:t xml:space="preserve"> Kabinet také připravuje na září tohoto roku projekt </w:t>
      </w:r>
      <w:r w:rsidDel="00000000" w:rsidR="00000000" w:rsidRPr="00000000">
        <w:rPr>
          <w:i w:val="1"/>
          <w:shd w:fill="f8f9fa" w:val="clear"/>
          <w:rtl w:val="0"/>
        </w:rPr>
        <w:t xml:space="preserve">IT je pro holky! </w:t>
      </w:r>
      <w:r w:rsidDel="00000000" w:rsidR="00000000" w:rsidRPr="00000000">
        <w:rPr>
          <w:shd w:fill="f8f9fa" w:val="clear"/>
          <w:rtl w:val="0"/>
        </w:rPr>
        <w:t xml:space="preserve">s cílem sdílet osobní příběhy žen, které již pracují v IT, se studentkami základních a středních škol.</w:t>
      </w:r>
    </w:p>
    <w:p w:rsidR="00000000" w:rsidDel="00000000" w:rsidP="00000000" w:rsidRDefault="00000000" w:rsidRPr="00000000" w14:paraId="00000007">
      <w:pPr>
        <w:spacing w:after="0" w:before="0" w:line="308.5714285714286" w:lineRule="auto"/>
        <w:jc w:val="both"/>
        <w:rPr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08.5714285714286" w:lineRule="auto"/>
        <w:jc w:val="both"/>
        <w:rPr>
          <w:shd w:fill="f8f9fa" w:val="clear"/>
        </w:rPr>
      </w:pPr>
      <w:r w:rsidDel="00000000" w:rsidR="00000000" w:rsidRPr="00000000">
        <w:rPr>
          <w:shd w:fill="f8f9fa" w:val="clear"/>
          <w:rtl w:val="0"/>
        </w:rPr>
        <w:t xml:space="preserve">Česko dosahuje dobrých výsledků nad průměrem EU také v oblasti využívání služeb eGovernment</w:t>
      </w:r>
      <w:r w:rsidDel="00000000" w:rsidR="00000000" w:rsidRPr="00000000">
        <w:rPr>
          <w:shd w:fill="f8f9fa" w:val="clear"/>
          <w:rtl w:val="0"/>
        </w:rPr>
        <w:t xml:space="preserve">u (76 %).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Věřím, že </w:t>
      </w:r>
      <w:r w:rsidDel="00000000" w:rsidR="00000000" w:rsidRPr="00000000">
        <w:rPr>
          <w:shd w:fill="f8f9fa" w:val="clear"/>
          <w:rtl w:val="0"/>
        </w:rPr>
        <w:t xml:space="preserve">výsledky</w:t>
      </w:r>
      <w:r w:rsidDel="00000000" w:rsidR="00000000" w:rsidRPr="00000000">
        <w:rPr>
          <w:i w:val="1"/>
          <w:shd w:fill="f8f9fa" w:val="clear"/>
          <w:rtl w:val="0"/>
        </w:rPr>
        <w:t xml:space="preserve"> Česka se v příštím indexu ještě více zlepší zejména díky rostoucímu počtu uživatelů Portálu občana, který se za poslední rok více než zdvojnásobil, a také díky nové aplikaci a přibývajícímu počtu služeb. Stejně tak si už téměř půl milionu lidí stáhlo svou občanku do mobilu a prokazuje se digitálně. Významným posunem bude i nově nabíhající digitalizace povolování staveb, či přidání systému DROZD pro bezpečné cestování do zahraničí do mobilní aplikace Portálu občana, kterou jsme občanům dodali v tomto roce.</w:t>
      </w:r>
      <w:r w:rsidDel="00000000" w:rsidR="00000000" w:rsidRPr="00000000">
        <w:rPr>
          <w:shd w:fill="f8f9fa" w:val="clear"/>
          <w:rtl w:val="0"/>
        </w:rPr>
        <w:t xml:space="preserve">”</w:t>
      </w:r>
      <w:r w:rsidDel="00000000" w:rsidR="00000000" w:rsidRPr="00000000">
        <w:rPr>
          <w:shd w:fill="f8f9fa" w:val="clear"/>
          <w:rtl w:val="0"/>
        </w:rPr>
        <w:t xml:space="preserve">dodal Bartoš.</w:t>
      </w:r>
    </w:p>
    <w:p w:rsidR="00000000" w:rsidDel="00000000" w:rsidP="00000000" w:rsidRDefault="00000000" w:rsidRPr="00000000" w14:paraId="00000009">
      <w:pPr>
        <w:spacing w:after="0" w:before="0" w:line="308.5714285714286" w:lineRule="auto"/>
        <w:jc w:val="both"/>
        <w:rPr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08.5714285714286" w:lineRule="auto"/>
        <w:jc w:val="both"/>
        <w:rPr/>
      </w:pPr>
      <w:r w:rsidDel="00000000" w:rsidR="00000000" w:rsidRPr="00000000">
        <w:rPr>
          <w:rtl w:val="0"/>
        </w:rPr>
        <w:t xml:space="preserve">V čem naopak</w:t>
      </w:r>
      <w:r w:rsidDel="00000000" w:rsidR="00000000" w:rsidRPr="00000000">
        <w:rPr>
          <w:rtl w:val="0"/>
        </w:rPr>
        <w:t xml:space="preserve"> Česko pokulhává, je oblast předvyplněných formulářů, kde se řadí ke konci žebříčku (45 %), před Německo a Rumunsko. </w:t>
      </w:r>
    </w:p>
    <w:p w:rsidR="00000000" w:rsidDel="00000000" w:rsidP="00000000" w:rsidRDefault="00000000" w:rsidRPr="00000000" w14:paraId="0000000B">
      <w:pPr>
        <w:spacing w:after="0" w:before="0" w:line="308.571428571428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08.5714285714286" w:lineRule="auto"/>
        <w:jc w:val="both"/>
        <w:rPr/>
      </w:pPr>
      <w:r w:rsidDel="00000000" w:rsidR="00000000" w:rsidRPr="00000000">
        <w:rPr>
          <w:rtl w:val="0"/>
        </w:rPr>
        <w:t xml:space="preserve">V této oblasti však v budoucnu významně pomůže práce DIA a implementace Zákona o právu na digitální služby, který začne platit od 1. února 2025. Cílem zákona totiž je, aby všechny státní služby, které je možné digitalizovat, byly k tomuto datu plně digitální. </w:t>
      </w:r>
      <w:r w:rsidDel="00000000" w:rsidR="00000000" w:rsidRPr="00000000">
        <w:rPr>
          <w:i w:val="1"/>
          <w:rtl w:val="0"/>
        </w:rPr>
        <w:t xml:space="preserve">„Zákon </w:t>
      </w:r>
      <w:r w:rsidDel="00000000" w:rsidR="00000000" w:rsidRPr="00000000">
        <w:rPr>
          <w:i w:val="1"/>
          <w:rtl w:val="0"/>
        </w:rPr>
        <w:t xml:space="preserve">o právu na digitální služby je koncipován tak, že jeho naplněním splníme většinu požadavků </w:t>
      </w:r>
      <w:r w:rsidDel="00000000" w:rsidR="00000000" w:rsidRPr="00000000">
        <w:rPr>
          <w:i w:val="1"/>
          <w:rtl w:val="0"/>
        </w:rPr>
        <w:t xml:space="preserve">eGovernment Benchmark Evropské unie,</w:t>
      </w:r>
      <w:r w:rsidDel="00000000" w:rsidR="00000000" w:rsidRPr="00000000">
        <w:rPr>
          <w:i w:val="1"/>
          <w:rtl w:val="0"/>
        </w:rPr>
        <w:t xml:space="preserve"> což nás může z konce žebříčku katapultovat do první desítky států EU. </w:t>
      </w:r>
      <w:r w:rsidDel="00000000" w:rsidR="00000000" w:rsidRPr="00000000">
        <w:rPr>
          <w:i w:val="1"/>
          <w:rtl w:val="0"/>
        </w:rPr>
        <w:t xml:space="preserve">Plně digitalizované služby budou například žádosti o příspěvky, změny trvalého pobytu, všechny služby spojené s dočasnou ztrátou zaměstnání nebo vyřizování záležitostí spojených s podnikáním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” dodal Bartoš. </w:t>
      </w:r>
    </w:p>
    <w:p w:rsidR="00000000" w:rsidDel="00000000" w:rsidP="00000000" w:rsidRDefault="00000000" w:rsidRPr="00000000" w14:paraId="0000000D">
      <w:pPr>
        <w:spacing w:after="240" w:before="240" w:line="331.2" w:lineRule="auto"/>
        <w:jc w:val="both"/>
        <w:rPr/>
      </w:pPr>
      <w:r w:rsidDel="00000000" w:rsidR="00000000" w:rsidRPr="00000000">
        <w:rPr>
          <w:rtl w:val="0"/>
        </w:rPr>
        <w:t xml:space="preserve">DIA mimo jiné koordinuje implementaci Zákona o právu na digitální služby, který zásadně pomůže v oblastech hodnocení jako dostupnost služeb a elektronické formuláře. DIA dále zajišťuje vznik a provoz Kompetenčních center, která asistují ministerstvům s digitálními projekty. Kompetenční centra jsou klíčová pro zrychlení digitální transformace a zlepšení digitalizace a jejího hodnocení v budoucnosti.</w:t>
      </w:r>
    </w:p>
    <w:p w:rsidR="00000000" w:rsidDel="00000000" w:rsidP="00000000" w:rsidRDefault="00000000" w:rsidRPr="00000000" w14:paraId="0000000E">
      <w:pPr>
        <w:spacing w:after="240" w:before="240" w:line="331.2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„DESI index je jedním z indikátorů, který nám ukazuje, na jaké oblasti se v digitalizaci zaměřit a kde máme největší mezery.  Výsledky letošního hodnocení vycházejí z dat pro rok 2023, kdy Digitální a informační agentura teprve vznikala. Proto její vliv na výsledné hodnocení bude patrný až v následujících letech. Nicméně již nyní pracujeme na několika klíčových projektech, jako jsou eDoklady nebo Portál občana, které zjednodušují život českým občanům,“</w:t>
      </w:r>
      <w:r w:rsidDel="00000000" w:rsidR="00000000" w:rsidRPr="00000000">
        <w:rPr>
          <w:rtl w:val="0"/>
        </w:rPr>
        <w:t xml:space="preserve"> říká Martin Mesršmíd, ředitel Digitální a informační agentury (DIA).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hd w:fill="f8f9fa" w:val="clear"/>
        </w:rPr>
      </w:pPr>
      <w:r w:rsidDel="00000000" w:rsidR="00000000" w:rsidRPr="00000000">
        <w:rPr>
          <w:rtl w:val="0"/>
        </w:rPr>
        <w:t xml:space="preserve">Hlavním problémem jsou tedy platy ICT pracovníků a potíže s jejich náborem do státní správy. V současné době jsou platové podmínky pro ICT pracovníky ve státní správě výrazně nižší než u jejich protějšků v soukromém sektoru. Kvůli tomu stát často nedokáže tyto odborníky zaměstnat a musí se uchylovat k využívání externích služeb, což je mnohem dražší. Lepšímu odměňování brání nejen nedostatek finančních prostředků, ale také </w:t>
      </w:r>
      <w:r w:rsidDel="00000000" w:rsidR="00000000" w:rsidRPr="00000000">
        <w:rPr>
          <w:rtl w:val="0"/>
        </w:rPr>
        <w:t xml:space="preserve">zákonem stanovená pravidla.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„Musíme přestat brát platy expertů jako výdaj k osekání, ale jako platbu za špičkovou službu. Data hovoří jasně: nízké platy jsou pro stát drahé. Neexistuje jedno řešení, je potřeba opravit celý systém. </w:t>
      </w:r>
      <w:r w:rsidDel="00000000" w:rsidR="00000000" w:rsidRPr="00000000">
        <w:rPr>
          <w:i w:val="1"/>
          <w:shd w:fill="f8f9fa" w:val="clear"/>
          <w:rtl w:val="0"/>
        </w:rPr>
        <w:t xml:space="preserve">Společně s mým týmem jsme již na vládu nabídli řadu řešení, jak situaci zlepšit</w:t>
      </w:r>
      <w:r w:rsidDel="00000000" w:rsidR="00000000" w:rsidRPr="00000000">
        <w:rPr>
          <w:rtl w:val="0"/>
        </w:rPr>
        <w:t xml:space="preserve">,” dodal Bartoš.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08.5714285714286" w:lineRule="auto"/>
        <w:jc w:val="both"/>
        <w:rPr>
          <w:shd w:fill="f8f9fa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